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rebuchet MS" w:cs="Trebuchet MS" w:eastAsia="Trebuchet MS" w:hAnsi="Trebuchet MS"/>
          <w:b w:val="1"/>
        </w:rPr>
      </w:pPr>
      <w:r w:rsidDel="00000000" w:rsidR="00000000" w:rsidRPr="00000000">
        <w:rPr>
          <w:rFonts w:ascii="Trebuchet MS" w:cs="Trebuchet MS" w:eastAsia="Trebuchet MS" w:hAnsi="Trebuchet MS"/>
        </w:rPr>
        <w:drawing>
          <wp:inline distB="0" distT="0" distL="0" distR="0">
            <wp:extent cx="1984248" cy="466344"/>
            <wp:effectExtent b="0" l="0" r="0" t="0"/>
            <wp:docPr descr="CDOT logo" id="5" name="image2.png"/>
            <a:graphic>
              <a:graphicData uri="http://schemas.openxmlformats.org/drawingml/2006/picture">
                <pic:pic>
                  <pic:nvPicPr>
                    <pic:cNvPr descr="CDOT logo" id="0" name="image2.png"/>
                    <pic:cNvPicPr preferRelativeResize="0"/>
                  </pic:nvPicPr>
                  <pic:blipFill>
                    <a:blip r:embed="rId6"/>
                    <a:srcRect b="0" l="0" r="0" t="0"/>
                    <a:stretch>
                      <a:fillRect/>
                    </a:stretch>
                  </pic:blipFill>
                  <pic:spPr>
                    <a:xfrm>
                      <a:off x="0" y="0"/>
                      <a:ext cx="1984248" cy="46634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Memorandum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rebuchet MS" w:cs="Trebuchet MS" w:eastAsia="Trebuchet MS" w:hAnsi="Trebuchet MS"/>
          <w:b w:val="0"/>
          <w:i w:val="0"/>
          <w:smallCaps w:val="0"/>
          <w:strike w:val="0"/>
          <w:color w:val="ff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Date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tab/>
        <w:t xml:space="preserve">     September 11, 2025 </w:t>
      </w:r>
    </w:p>
    <w:p w:rsidR="00000000" w:rsidDel="00000000" w:rsidP="00000000" w:rsidRDefault="00000000" w:rsidRPr="00000000" w14:paraId="0000000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To</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tab/>
        <w:t xml:space="preserve">     All holders of Standard Special Provisions</w:t>
      </w:r>
    </w:p>
    <w:p w:rsidR="00000000" w:rsidDel="00000000" w:rsidP="00000000" w:rsidRDefault="00000000" w:rsidRPr="00000000" w14:paraId="0000000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From</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tab/>
        <w:t xml:space="preserve">     Bill Cornelius, Standards and Specifications Unit Manager</w:t>
      </w:r>
    </w:p>
    <w:p w:rsidR="00000000" w:rsidDel="00000000" w:rsidP="00000000" w:rsidRDefault="00000000" w:rsidRPr="00000000" w14:paraId="0000000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Subject</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New standard special provision: Revision of Section 206 Shoring</w:t>
      </w:r>
    </w:p>
    <w:p w:rsidR="00000000" w:rsidDel="00000000" w:rsidP="00000000" w:rsidRDefault="00000000" w:rsidRPr="00000000" w14:paraId="0000000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As of September 11, 2025, this unit has issued the new standard special provision, Revision of Section 206 Shoring, with 3 pages, and dated September 11, 2025.</w:t>
      </w:r>
    </w:p>
    <w:p w:rsidR="00000000" w:rsidDel="00000000" w:rsidP="00000000" w:rsidRDefault="00000000" w:rsidRPr="00000000" w14:paraId="0000000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changes are the result of safety and construction concerns from Bridge and Regional Resident Engineers. Here is a summary of the changes: </w:t>
      </w:r>
    </w:p>
    <w:p w:rsidR="00000000" w:rsidDel="00000000" w:rsidP="00000000" w:rsidRDefault="00000000" w:rsidRPr="00000000" w14:paraId="00000010">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1">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Old:</w:t>
      </w:r>
      <w:r w:rsidDel="00000000" w:rsidR="00000000" w:rsidRPr="00000000">
        <w:rPr>
          <w:rFonts w:ascii="Trebuchet MS" w:cs="Trebuchet MS" w:eastAsia="Trebuchet MS" w:hAnsi="Trebuchet MS"/>
          <w:rtl w:val="0"/>
        </w:rPr>
        <w:t xml:space="preserve"> Soil nail proof testing was limited to one for any wall, no matter height, length, or soil condition.</w:t>
      </w:r>
    </w:p>
    <w:p w:rsidR="00000000" w:rsidDel="00000000" w:rsidP="00000000" w:rsidRDefault="00000000" w:rsidRPr="00000000" w14:paraId="00000012">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New: </w:t>
      </w:r>
      <w:r w:rsidDel="00000000" w:rsidR="00000000" w:rsidRPr="00000000">
        <w:rPr>
          <w:rFonts w:ascii="Trebuchet MS" w:cs="Trebuchet MS" w:eastAsia="Trebuchet MS" w:hAnsi="Trebuchet MS"/>
          <w:rtl w:val="0"/>
        </w:rPr>
        <w:t xml:space="preserve">The Engineer has many roles, and the shoring test frequency should be per the design requirements, not at the Engineer’s discretion. Proof and verification testing will be in line with documented construction manuals and specifications.</w:t>
      </w:r>
    </w:p>
    <w:p w:rsidR="00000000" w:rsidDel="00000000" w:rsidP="00000000" w:rsidRDefault="00000000" w:rsidRPr="00000000" w14:paraId="0000001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4">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Old: </w:t>
      </w:r>
      <w:r w:rsidDel="00000000" w:rsidR="00000000" w:rsidRPr="00000000">
        <w:rPr>
          <w:rFonts w:ascii="Trebuchet MS" w:cs="Trebuchet MS" w:eastAsia="Trebuchet MS" w:hAnsi="Trebuchet MS"/>
          <w:rtl w:val="0"/>
        </w:rPr>
        <w:t xml:space="preserve">Material testing (grout and soil) was not required or needed to be reported to CDOT.</w:t>
      </w:r>
    </w:p>
    <w:p w:rsidR="00000000" w:rsidDel="00000000" w:rsidP="00000000" w:rsidRDefault="00000000" w:rsidRPr="00000000" w14:paraId="00000015">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New:</w:t>
      </w:r>
      <w:r w:rsidDel="00000000" w:rsidR="00000000" w:rsidRPr="00000000">
        <w:rPr>
          <w:rFonts w:ascii="Trebuchet MS" w:cs="Trebuchet MS" w:eastAsia="Trebuchet MS" w:hAnsi="Trebuchet MS"/>
          <w:rtl w:val="0"/>
        </w:rPr>
        <w:t xml:space="preserve"> Material testing will be reported to CDOT to document proper construction of shoring.</w:t>
      </w:r>
    </w:p>
    <w:p w:rsidR="00000000" w:rsidDel="00000000" w:rsidP="00000000" w:rsidRDefault="00000000" w:rsidRPr="00000000" w14:paraId="0000001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7">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Old: </w:t>
      </w:r>
      <w:r w:rsidDel="00000000" w:rsidR="00000000" w:rsidRPr="00000000">
        <w:rPr>
          <w:rFonts w:ascii="Trebuchet MS" w:cs="Trebuchet MS" w:eastAsia="Trebuchet MS" w:hAnsi="Trebuchet MS"/>
          <w:rtl w:val="0"/>
        </w:rPr>
        <w:t xml:space="preserve">Listed three reference manuals for design.</w:t>
      </w:r>
    </w:p>
    <w:p w:rsidR="00000000" w:rsidDel="00000000" w:rsidP="00000000" w:rsidRDefault="00000000" w:rsidRPr="00000000" w14:paraId="00000018">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New: </w:t>
      </w:r>
      <w:r w:rsidDel="00000000" w:rsidR="00000000" w:rsidRPr="00000000">
        <w:rPr>
          <w:rFonts w:ascii="Trebuchet MS" w:cs="Trebuchet MS" w:eastAsia="Trebuchet MS" w:hAnsi="Trebuchet MS"/>
          <w:rtl w:val="0"/>
        </w:rPr>
        <w:t xml:space="preserve">Added AASHTO Guide Design Specifications for Bridge and Temporary Works</w:t>
      </w:r>
    </w:p>
    <w:p w:rsidR="00000000" w:rsidDel="00000000" w:rsidP="00000000" w:rsidRDefault="00000000" w:rsidRPr="00000000" w14:paraId="0000001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A">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Old:</w:t>
      </w:r>
      <w:r w:rsidDel="00000000" w:rsidR="00000000" w:rsidRPr="00000000">
        <w:rPr>
          <w:rFonts w:ascii="Trebuchet MS" w:cs="Trebuchet MS" w:eastAsia="Trebuchet MS" w:hAnsi="Trebuchet MS"/>
          <w:rtl w:val="0"/>
        </w:rPr>
        <w:t xml:space="preserve"> Shoring not included in the four listed design references, the Contractor did not have to specify how the wall was designed.</w:t>
      </w:r>
    </w:p>
    <w:p w:rsidR="00000000" w:rsidDel="00000000" w:rsidP="00000000" w:rsidRDefault="00000000" w:rsidRPr="00000000" w14:paraId="0000001B">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New:</w:t>
      </w:r>
      <w:r w:rsidDel="00000000" w:rsidR="00000000" w:rsidRPr="00000000">
        <w:rPr>
          <w:rFonts w:ascii="Trebuchet MS" w:cs="Trebuchet MS" w:eastAsia="Trebuchet MS" w:hAnsi="Trebuchet MS"/>
          <w:rtl w:val="0"/>
        </w:rPr>
        <w:t xml:space="preserve"> The Contractor must provide design review to the Engineer for acceptance if not using one of the 4 listed references.</w:t>
      </w:r>
    </w:p>
    <w:p w:rsidR="00000000" w:rsidDel="00000000" w:rsidP="00000000" w:rsidRDefault="00000000" w:rsidRPr="00000000" w14:paraId="0000001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D">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Old: </w:t>
      </w:r>
      <w:r w:rsidDel="00000000" w:rsidR="00000000" w:rsidRPr="00000000">
        <w:rPr>
          <w:rFonts w:ascii="Trebuchet MS" w:cs="Trebuchet MS" w:eastAsia="Trebuchet MS" w:hAnsi="Trebuchet MS"/>
          <w:rtl w:val="0"/>
        </w:rPr>
        <w:t xml:space="preserve">Department will pay for any proof or verification testing per the Engineer.</w:t>
      </w:r>
    </w:p>
    <w:p w:rsidR="00000000" w:rsidDel="00000000" w:rsidP="00000000" w:rsidRDefault="00000000" w:rsidRPr="00000000" w14:paraId="0000001E">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New:</w:t>
      </w:r>
      <w:r w:rsidDel="00000000" w:rsidR="00000000" w:rsidRPr="00000000">
        <w:rPr>
          <w:rFonts w:ascii="Trebuchet MS" w:cs="Trebuchet MS" w:eastAsia="Trebuchet MS" w:hAnsi="Trebuchet MS"/>
          <w:rtl w:val="0"/>
        </w:rPr>
        <w:t xml:space="preserve"> The Engineer has many roles, and the shoring performance test frequency should be per the design requirements, not at the Engineer’s discretion. Proof and verification testing will be in line with documented construction manuals and specifications. Any additional performance testing beyond the design requirements at the request of the Engineer shall be paid by CDOT, if it passes; the Contractor if it fails.</w:t>
      </w:r>
    </w:p>
    <w:p w:rsidR="00000000" w:rsidDel="00000000" w:rsidP="00000000" w:rsidRDefault="00000000" w:rsidRPr="00000000" w14:paraId="0000001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Please use this on all projects with shoring.</w:t>
      </w:r>
    </w:p>
    <w:p w:rsidR="00000000" w:rsidDel="00000000" w:rsidP="00000000" w:rsidRDefault="00000000" w:rsidRPr="00000000" w14:paraId="0000002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standard special provision will become mandatory in projects advertised on or after October 1, 2025.  You may use this standard special provision in projects advertised before this date.</w:t>
      </w:r>
    </w:p>
    <w:p w:rsidR="00000000" w:rsidDel="00000000" w:rsidP="00000000" w:rsidRDefault="00000000" w:rsidRPr="00000000" w14:paraId="0000002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4"/>
          <w:szCs w:val="24"/>
          <w:u w:val="none"/>
          <w:shd w:fill="auto" w:val="clear"/>
          <w:vertAlign w:val="baseline"/>
          <w:rtl w:val="0"/>
        </w:rPr>
        <w:t xml:space="preserve">For those of you who keep a book of Standard Special Provisions, please include this new provision.  For your convenience, this provision and the latest SSP Index are attached to the email.  You can also find these in our Construction Specifications web pages: </w:t>
      </w:r>
      <w:hyperlink r:id="rId7">
        <w:r w:rsidDel="00000000" w:rsidR="00000000" w:rsidRPr="00000000">
          <w:rPr>
            <w:rFonts w:ascii="Trebuchet MS" w:cs="Trebuchet MS" w:eastAsia="Trebuchet MS" w:hAnsi="Trebuchet MS"/>
            <w:b w:val="0"/>
            <w:i w:val="0"/>
            <w:smallCaps w:val="0"/>
            <w:strike w:val="0"/>
            <w:color w:val="0000ff"/>
            <w:sz w:val="24"/>
            <w:szCs w:val="24"/>
            <w:u w:val="single"/>
            <w:shd w:fill="auto" w:val="clear"/>
            <w:vertAlign w:val="baseline"/>
            <w:rtl w:val="0"/>
          </w:rPr>
          <w:t xml:space="preserve">Standard Special Provisions</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222222"/>
          <w:sz w:val="24"/>
          <w:szCs w:val="24"/>
          <w:u w:val="none"/>
          <w:shd w:fill="auto" w:val="clear"/>
          <w:vertAlign w:val="baseline"/>
          <w:rtl w:val="0"/>
        </w:rPr>
        <w:t xml:space="preserve">and the </w:t>
      </w:r>
      <w:hyperlink r:id="rId8">
        <w:r w:rsidDel="00000000" w:rsidR="00000000" w:rsidRPr="00000000">
          <w:rPr>
            <w:rFonts w:ascii="Trebuchet MS" w:cs="Trebuchet MS" w:eastAsia="Trebuchet MS" w:hAnsi="Trebuchet MS"/>
            <w:b w:val="0"/>
            <w:i w:val="0"/>
            <w:smallCaps w:val="0"/>
            <w:strike w:val="0"/>
            <w:color w:val="0000ff"/>
            <w:sz w:val="24"/>
            <w:szCs w:val="24"/>
            <w:u w:val="single"/>
            <w:shd w:fill="auto" w:val="clear"/>
            <w:vertAlign w:val="baseline"/>
            <w:rtl w:val="0"/>
          </w:rPr>
          <w:t xml:space="preserve">Recently Issued Special Provisions.</w:t>
        </w:r>
      </w:hyperlink>
      <w:r w:rsidDel="00000000" w:rsidR="00000000" w:rsidRPr="00000000">
        <w:rPr>
          <w:rtl w:val="0"/>
        </w:rPr>
      </w:r>
    </w:p>
    <w:p w:rsidR="00000000" w:rsidDel="00000000" w:rsidP="00000000" w:rsidRDefault="00000000" w:rsidRPr="00000000" w14:paraId="0000002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4"/>
          <w:szCs w:val="24"/>
          <w:u w:val="none"/>
          <w:shd w:fill="auto" w:val="clear"/>
          <w:vertAlign w:val="baseline"/>
          <w:rtl w:val="0"/>
        </w:rPr>
        <w:t xml:space="preserve">If you have any questions or comments, please contact this office.</w:t>
      </w:r>
    </w:p>
    <w:p w:rsidR="00000000" w:rsidDel="00000000" w:rsidP="00000000" w:rsidRDefault="00000000" w:rsidRPr="00000000" w14:paraId="0000002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5924550</wp:posOffset>
            </wp:positionH>
            <wp:positionV relativeFrom="paragraph">
              <wp:posOffset>159385</wp:posOffset>
            </wp:positionV>
            <wp:extent cx="402121" cy="404226"/>
            <wp:effectExtent b="0" l="0" r="0" t="0"/>
            <wp:wrapNone/>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02121" cy="404226"/>
                    </a:xfrm>
                    <a:prstGeom prst="rect"/>
                    <a:ln/>
                  </pic:spPr>
                </pic:pic>
              </a:graphicData>
            </a:graphic>
          </wp:anchor>
        </w:drawing>
      </w:r>
    </w:p>
    <w:p w:rsidR="00000000" w:rsidDel="00000000" w:rsidP="00000000" w:rsidRDefault="00000000" w:rsidRPr="00000000" w14:paraId="0000004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5132257</wp:posOffset>
                </wp:positionH>
                <wp:positionV relativeFrom="paragraph">
                  <wp:posOffset>176405</wp:posOffset>
                </wp:positionV>
                <wp:extent cx="12700" cy="206062"/>
                <wp:effectExtent b="0" l="0" r="0" t="0"/>
                <wp:wrapNone/>
                <wp:docPr id="2" name=""/>
                <a:graphic>
                  <a:graphicData uri="http://schemas.microsoft.com/office/word/2010/wordprocessingShape">
                    <wps:wsp>
                      <wps:cNvCnPr/>
                      <wps:spPr>
                        <a:xfrm>
                          <a:off x="5346000" y="3676969"/>
                          <a:ext cx="0" cy="206062"/>
                        </a:xfrm>
                        <a:prstGeom prst="straightConnector1">
                          <a:avLst/>
                        </a:prstGeom>
                        <a:noFill/>
                        <a:ln cap="flat" cmpd="sng" w="127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5132257</wp:posOffset>
                </wp:positionH>
                <wp:positionV relativeFrom="paragraph">
                  <wp:posOffset>176405</wp:posOffset>
                </wp:positionV>
                <wp:extent cx="12700" cy="206062"/>
                <wp:effectExtent b="0" l="0" r="0" t="0"/>
                <wp:wrapNone/>
                <wp:docPr id="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2700" cy="206062"/>
                        </a:xfrm>
                        <a:prstGeom prst="rect"/>
                        <a:ln/>
                      </pic:spPr>
                    </pic:pic>
                  </a:graphicData>
                </a:graphic>
              </wp:anchor>
            </w:drawing>
          </mc:Fallback>
        </mc:AlternateContent>
      </w:r>
    </w:p>
    <w:p w:rsidR="00000000" w:rsidDel="00000000" w:rsidP="00000000" w:rsidRDefault="00000000" w:rsidRPr="00000000" w14:paraId="00000047">
      <w:pPr>
        <w:tabs>
          <w:tab w:val="center" w:leader="none" w:pos="4320"/>
          <w:tab w:val="right" w:leader="none" w:pos="8640"/>
        </w:tabs>
        <w:rPr>
          <w:rFonts w:ascii="Trebuchet MS" w:cs="Trebuchet MS" w:eastAsia="Trebuchet MS" w:hAnsi="Trebuchet MS"/>
          <w:color w:val="595959"/>
          <w:sz w:val="20"/>
          <w:szCs w:val="20"/>
        </w:rPr>
      </w:pPr>
      <w:r w:rsidDel="00000000" w:rsidR="00000000" w:rsidRPr="00000000">
        <w:rPr>
          <w:rFonts w:ascii="Trebuchet MS" w:cs="Trebuchet MS" w:eastAsia="Trebuchet MS" w:hAnsi="Trebuchet MS"/>
          <w:color w:val="595959"/>
          <w:sz w:val="20"/>
          <w:szCs w:val="20"/>
          <w:rtl w:val="0"/>
        </w:rPr>
        <w:t xml:space="preserve">2829 W. Howard Pl., 3rd Fl.  Denver, CO 80204   P: (720) 766-0420   F: 303-757-9868   </w:t>
      </w:r>
      <w:hyperlink r:id="rId11">
        <w:r w:rsidDel="00000000" w:rsidR="00000000" w:rsidRPr="00000000">
          <w:rPr>
            <w:rFonts w:ascii="Trebuchet MS" w:cs="Trebuchet MS" w:eastAsia="Trebuchet MS" w:hAnsi="Trebuchet MS"/>
            <w:color w:val="0000ff"/>
            <w:sz w:val="20"/>
            <w:szCs w:val="20"/>
            <w:u w:val="single"/>
            <w:rtl w:val="0"/>
          </w:rPr>
          <w:t xml:space="preserve">www.codot.gov</w:t>
        </w:r>
      </w:hyperlink>
      <w:r w:rsidDel="00000000" w:rsidR="00000000" w:rsidRPr="00000000">
        <w:rPr>
          <w:rtl w:val="0"/>
        </w:rPr>
      </w:r>
    </w:p>
    <w:sectPr>
      <w:headerReference r:id="rId12" w:type="first"/>
      <w:footerReference r:id="rId13" w:type="first"/>
      <w:pgSz w:h="15840" w:w="12240" w:orient="portrait"/>
      <w:pgMar w:bottom="1440" w:top="1440" w:left="1440" w:right="1440" w:header="1440" w:footer="33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5486400</wp:posOffset>
          </wp:positionH>
          <wp:positionV relativeFrom="paragraph">
            <wp:posOffset>740410</wp:posOffset>
          </wp:positionV>
          <wp:extent cx="15240" cy="345440"/>
          <wp:effectExtent b="0" l="0" r="0" t="0"/>
          <wp:wrapNone/>
          <wp:docPr descr="letterhead_line" id="3" name="image3.png"/>
          <a:graphic>
            <a:graphicData uri="http://schemas.openxmlformats.org/drawingml/2006/picture">
              <pic:pic>
                <pic:nvPicPr>
                  <pic:cNvPr descr="letterhead_line" id="0" name="image3.png"/>
                  <pic:cNvPicPr preferRelativeResize="0"/>
                </pic:nvPicPr>
                <pic:blipFill>
                  <a:blip r:embed="rId1"/>
                  <a:srcRect b="0" l="0" r="0" t="0"/>
                  <a:stretch>
                    <a:fillRect/>
                  </a:stretch>
                </pic:blipFill>
                <pic:spPr>
                  <a:xfrm>
                    <a:off x="0" y="0"/>
                    <a:ext cx="15240" cy="3454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-67626</wp:posOffset>
              </wp:positionH>
              <wp:positionV relativeFrom="paragraph">
                <wp:posOffset>809307</wp:posOffset>
              </wp:positionV>
              <wp:extent cx="5382895" cy="238125"/>
              <wp:effectExtent b="0" l="0" r="0" t="0"/>
              <wp:wrapNone/>
              <wp:docPr id="1" name=""/>
              <a:graphic>
                <a:graphicData uri="http://schemas.microsoft.com/office/word/2010/wordprocessingShape">
                  <wps:wsp>
                    <wps:cNvSpPr/>
                    <wps:cNvPr id="2" name="Shape 2"/>
                    <wps:spPr>
                      <a:xfrm>
                        <a:off x="2659315" y="3665700"/>
                        <a:ext cx="5373370" cy="2286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rebuchet MS" w:cs="Trebuchet MS" w:eastAsia="Trebuchet MS" w:hAnsi="Trebuchet MS"/>
                              <w:b w:val="0"/>
                              <w:i w:val="0"/>
                              <w:smallCaps w:val="0"/>
                              <w:strike w:val="0"/>
                              <w:color w:val="595959"/>
                              <w:sz w:val="16"/>
                              <w:vertAlign w:val="baseline"/>
                            </w:rPr>
                            <w:t xml:space="preserve">555 Street Address, Room 555, Denver, CO 55555-5555</w:t>
                          </w:r>
                          <w:r w:rsidDel="00000000" w:rsidR="00000000" w:rsidRPr="00000000">
                            <w:rPr>
                              <w:rFonts w:ascii="Times New Roman" w:cs="Times New Roman" w:eastAsia="Times New Roman" w:hAnsi="Times New Roman"/>
                              <w:b w:val="0"/>
                              <w:i w:val="0"/>
                              <w:smallCaps w:val="0"/>
                              <w:strike w:val="0"/>
                              <w:color w:val="595959"/>
                              <w:sz w:val="16"/>
                              <w:vertAlign w:val="baseline"/>
                            </w:rPr>
                            <w:t xml:space="preserve"> </w:t>
                          </w:r>
                          <w:r w:rsidDel="00000000" w:rsidR="00000000" w:rsidRPr="00000000">
                            <w:rPr>
                              <w:rFonts w:ascii="Trebuchet MS" w:cs="Trebuchet MS" w:eastAsia="Trebuchet MS" w:hAnsi="Trebuchet MS"/>
                              <w:b w:val="0"/>
                              <w:i w:val="0"/>
                              <w:smallCaps w:val="0"/>
                              <w:strike w:val="0"/>
                              <w:color w:val="595959"/>
                              <w:sz w:val="16"/>
                              <w:vertAlign w:val="baseline"/>
                            </w:rPr>
                            <w:t xml:space="preserve">P 555.555.5555</w:t>
                          </w:r>
                          <w:r w:rsidDel="00000000" w:rsidR="00000000" w:rsidRPr="00000000">
                            <w:rPr>
                              <w:rFonts w:ascii="Times New Roman" w:cs="Times New Roman" w:eastAsia="Times New Roman" w:hAnsi="Times New Roman"/>
                              <w:b w:val="0"/>
                              <w:i w:val="0"/>
                              <w:smallCaps w:val="0"/>
                              <w:strike w:val="0"/>
                              <w:color w:val="595959"/>
                              <w:sz w:val="16"/>
                              <w:vertAlign w:val="baseline"/>
                            </w:rPr>
                            <w:t xml:space="preserve"> </w:t>
                          </w:r>
                          <w:r w:rsidDel="00000000" w:rsidR="00000000" w:rsidRPr="00000000">
                            <w:rPr>
                              <w:rFonts w:ascii="Trebuchet MS" w:cs="Trebuchet MS" w:eastAsia="Trebuchet MS" w:hAnsi="Trebuchet MS"/>
                              <w:b w:val="0"/>
                              <w:i w:val="0"/>
                              <w:smallCaps w:val="0"/>
                              <w:strike w:val="0"/>
                              <w:color w:val="595959"/>
                              <w:sz w:val="16"/>
                              <w:vertAlign w:val="baseline"/>
                            </w:rPr>
                            <w:t xml:space="preserve">F 555.555.5555</w:t>
                          </w:r>
                          <w:r w:rsidDel="00000000" w:rsidR="00000000" w:rsidRPr="00000000">
                            <w:rPr>
                              <w:rFonts w:ascii="Times New Roman" w:cs="Times New Roman" w:eastAsia="Times New Roman" w:hAnsi="Times New Roman"/>
                              <w:b w:val="0"/>
                              <w:i w:val="0"/>
                              <w:smallCaps w:val="0"/>
                              <w:strike w:val="0"/>
                              <w:color w:val="595959"/>
                              <w:sz w:val="16"/>
                              <w:vertAlign w:val="baseline"/>
                            </w:rPr>
                            <w:t xml:space="preserve"> </w:t>
                          </w:r>
                          <w:r w:rsidDel="00000000" w:rsidR="00000000" w:rsidRPr="00000000">
                            <w:rPr>
                              <w:rFonts w:ascii="Trebuchet MS" w:cs="Trebuchet MS" w:eastAsia="Trebuchet MS" w:hAnsi="Trebuchet MS"/>
                              <w:b w:val="0"/>
                              <w:i w:val="0"/>
                              <w:smallCaps w:val="0"/>
                              <w:strike w:val="0"/>
                              <w:color w:val="595959"/>
                              <w:sz w:val="16"/>
                              <w:vertAlign w:val="baseline"/>
                            </w:rPr>
                            <w:t xml:space="preserve">www.colorado.gov/xxx</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-67626</wp:posOffset>
              </wp:positionH>
              <wp:positionV relativeFrom="paragraph">
                <wp:posOffset>809307</wp:posOffset>
              </wp:positionV>
              <wp:extent cx="5382895" cy="238125"/>
              <wp:effectExtent b="0" l="0" r="0" t="0"/>
              <wp:wrapNone/>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382895" cy="2381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5632450</wp:posOffset>
          </wp:positionH>
          <wp:positionV relativeFrom="paragraph">
            <wp:posOffset>530225</wp:posOffset>
          </wp:positionV>
          <wp:extent cx="727710" cy="731520"/>
          <wp:effectExtent b="0" l="0" r="0" t="0"/>
          <wp:wrapNone/>
          <wp:docPr id="4"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727710" cy="7315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spacing w:after="160" w:line="278.00000000000006" w:lineRule="auto"/>
    </w:pPr>
    <w:rPr>
      <w:rFonts w:ascii="Cambria" w:cs="Cambria" w:eastAsia="Cambria" w:hAnsi="Cambria"/>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dot.gov/" TargetMode="External"/><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codot.gov/business/designsupport/cdot-construction-specifications/2025-construction-specifications" TargetMode="External"/><Relationship Id="rId8" Type="http://schemas.openxmlformats.org/officeDocument/2006/relationships/hyperlink" Target="https://www.codot.gov/business/designsupport/cdot-construction-specifications/2025-construction-specifications/recently-issued-special-provis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